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1 -->
  <w:body>
    <w:p w:rsidR="00E77019" w14:paraId="1EA4F0CC" w14:textId="0E777D11">
      <w:pPr>
        <w:ind w:left="-284" w:right="-292"/>
        <w:rPr>
          <w:rStyle w:val="Nessuno"/>
          <w:i/>
          <w:iCs/>
        </w:rPr>
      </w:pPr>
      <w:r w:rsidRPr="00E86877">
        <w:rPr>
          <w:rFonts w:eastAsia="Times New Roman" w:cs="Times New Roman"/>
          <w:b/>
          <w:noProof/>
          <w:color w:val="auto"/>
          <w:sz w:val="20"/>
          <w:szCs w:val="20"/>
          <w:bdr w:val="none" w:sz="0" w:space="0" w:color="auto"/>
          <w:lang w:val="it-IT"/>
        </w:rPr>
        <w:drawing>
          <wp:anchor distT="0" distB="0" distL="114300" distR="114300" simplePos="0" relativeHeight="251658240" behindDoc="1" locked="0" layoutInCell="1" allowOverlap="1">
            <wp:simplePos x="0" y="0"/>
            <wp:positionH relativeFrom="column">
              <wp:posOffset>2035175</wp:posOffset>
            </wp:positionH>
            <wp:positionV relativeFrom="paragraph">
              <wp:posOffset>91440</wp:posOffset>
            </wp:positionV>
            <wp:extent cx="1664970" cy="573405"/>
            <wp:effectExtent l="0" t="0" r="0" b="0"/>
            <wp:wrapNone/>
            <wp:docPr id="9" name="Immagine 9" descr="LOGO ITA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517891" name="Picture 9" descr="LOGO ITABIA"/>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664970" cy="5734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E86877">
        <w:rPr>
          <w:rFonts w:eastAsia="Times New Roman" w:cs="Times New Roman"/>
          <w:b/>
          <w:noProof/>
          <w:color w:val="auto"/>
          <w:sz w:val="20"/>
          <w:szCs w:val="20"/>
          <w:bdr w:val="none" w:sz="0" w:space="0" w:color="auto"/>
          <w:lang w:val="it-IT"/>
        </w:rPr>
        <w:drawing>
          <wp:anchor distT="0" distB="0" distL="114300" distR="114300" simplePos="0" relativeHeight="251659264" behindDoc="0" locked="0" layoutInCell="1" allowOverlap="1">
            <wp:simplePos x="0" y="0"/>
            <wp:positionH relativeFrom="margin">
              <wp:align>left</wp:align>
            </wp:positionH>
            <wp:positionV relativeFrom="paragraph">
              <wp:posOffset>34290</wp:posOffset>
            </wp:positionV>
            <wp:extent cx="1412240" cy="614045"/>
            <wp:effectExtent l="0" t="0" r="0" b="0"/>
            <wp:wrapNone/>
            <wp:docPr id="5" name="Immagine 1" descr="cid:image001.png@01D39C4E.90C22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371708" name="Picture 1" descr="cid:image001.png@01D39C4E.90C220E0"/>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12240" cy="61404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E86877" w:rsidP="00E86877" w14:paraId="0075F879" w14:textId="426DEF05">
      <w:pPr>
        <w:ind w:left="-284" w:right="567"/>
        <w:rPr>
          <w:rFonts w:cs="Times New Roman"/>
          <w:i/>
          <w:lang w:val="fr-FR"/>
        </w:rPr>
      </w:pPr>
    </w:p>
    <w:p w:rsidR="00E86877" w:rsidP="00E86877" w14:paraId="2D42AD62" w14:textId="7B523BC8">
      <w:pPr>
        <w:tabs>
          <w:tab w:val="left" w:pos="5595"/>
        </w:tabs>
        <w:ind w:left="-284" w:right="567"/>
        <w:rPr>
          <w:rFonts w:cs="Times New Roman"/>
          <w:i/>
          <w:lang w:val="fr-FR"/>
        </w:rPr>
      </w:pPr>
      <w:r>
        <w:rPr>
          <w:rFonts w:cs="Times New Roman"/>
          <w:i/>
          <w:lang w:val="fr-FR"/>
        </w:rPr>
        <w:tab/>
      </w:r>
    </w:p>
    <w:p w:rsidR="00E86877" w:rsidP="00E86877" w14:paraId="5CD2C566" w14:textId="77777777">
      <w:pPr>
        <w:ind w:left="-284" w:right="567"/>
        <w:rPr>
          <w:rFonts w:cs="Times New Roman"/>
          <w:i/>
          <w:lang w:val="fr-FR"/>
        </w:rPr>
      </w:pPr>
    </w:p>
    <w:p w:rsidR="00E86877" w:rsidP="00E86877" w14:paraId="6C0E4AA3" w14:textId="77777777">
      <w:pPr>
        <w:ind w:left="-284" w:right="567"/>
        <w:rPr>
          <w:rFonts w:cs="Times New Roman"/>
          <w:i/>
          <w:lang w:val="fr-FR"/>
        </w:rPr>
      </w:pPr>
    </w:p>
    <w:p w:rsidR="00E77019" w:rsidP="00E86877" w14:paraId="38B67403" w14:textId="0C657AD7">
      <w:pPr>
        <w:bidi w:val="0"/>
        <w:ind w:left="-284" w:right="567"/>
        <w:rPr>
          <w:rFonts w:cs="Times New Roman"/>
          <w:i/>
          <w:lang w:val="fr-FR"/>
        </w:rPr>
      </w:pPr>
      <w:r>
        <w:rPr>
          <w:rStyle w:val="DefaultParagraphFont"/>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Press release no. 35</w:t>
      </w:r>
    </w:p>
    <w:p w:rsidR="00A63A04" w:rsidRPr="00A63A04" w:rsidP="00E86877" w14:paraId="57FD152C" w14:textId="77777777">
      <w:pPr>
        <w:tabs>
          <w:tab w:val="left" w:pos="7655"/>
        </w:tabs>
        <w:ind w:left="-284" w:right="567"/>
        <w:jc w:val="both"/>
        <w:rPr>
          <w:rFonts w:eastAsia="MS Mincho" w:cs="Times New Roman"/>
          <w:b/>
          <w:i/>
          <w:color w:val="auto"/>
          <w:sz w:val="28"/>
          <w:szCs w:val="28"/>
          <w:bdr w:val="none" w:sz="0" w:space="0" w:color="auto"/>
          <w:lang w:val="fr-FR"/>
        </w:rPr>
      </w:pPr>
    </w:p>
    <w:p w:rsidR="00E86877" w:rsidRPr="00E86877" w:rsidP="00E86877" w14:paraId="17CB989C" w14:textId="10FAFF94">
      <w:pPr>
        <w:pBdr>
          <w:top w:val="none" w:sz="0" w:space="0" w:color="auto"/>
          <w:left w:val="none" w:sz="0" w:space="0" w:color="auto"/>
          <w:bottom w:val="none" w:sz="0" w:space="0" w:color="auto"/>
          <w:right w:val="none" w:sz="0" w:space="0" w:color="auto"/>
          <w:between w:val="none" w:sz="0" w:space="0" w:color="auto"/>
          <w:bar w:val="none" w:sz="0" w:space="0" w:color="auto"/>
        </w:pBdr>
        <w:suppressAutoHyphens/>
        <w:bidi w:val="0"/>
        <w:ind w:left="-284" w:right="567"/>
        <w:jc w:val="both"/>
        <w:rPr>
          <w:rFonts w:eastAsia="Times New Roman" w:cs="Times New Roman"/>
          <w:b/>
          <w:color w:val="auto"/>
          <w:bdr w:val="none" w:sz="0" w:space="0" w:color="auto"/>
          <w:lang w:val="it-IT" w:eastAsia="ar-SA"/>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EDP, focus on bioenergy</w:t>
      </w:r>
    </w:p>
    <w:p w:rsidR="00E86877" w:rsidRPr="00E86877" w:rsidP="00E86877" w14:paraId="78AA677E" w14:textId="77777777">
      <w:pPr>
        <w:pBdr>
          <w:top w:val="none" w:sz="0" w:space="0" w:color="auto"/>
          <w:left w:val="none" w:sz="0" w:space="0" w:color="auto"/>
          <w:bottom w:val="none" w:sz="0" w:space="0" w:color="auto"/>
          <w:right w:val="none" w:sz="0" w:space="0" w:color="auto"/>
          <w:between w:val="none" w:sz="0" w:space="0" w:color="auto"/>
          <w:bar w:val="none" w:sz="0" w:space="0" w:color="auto"/>
        </w:pBdr>
        <w:suppressAutoHyphens/>
        <w:ind w:left="-284" w:right="567"/>
        <w:jc w:val="both"/>
        <w:rPr>
          <w:rFonts w:eastAsia="Times New Roman" w:cs="Times New Roman"/>
          <w:color w:val="auto"/>
          <w:bdr w:val="none" w:sz="0" w:space="0" w:color="auto"/>
          <w:lang w:val="it-IT" w:eastAsia="ar-SA"/>
        </w:rPr>
      </w:pPr>
    </w:p>
    <w:p w:rsidR="00E86877" w:rsidRPr="00E86877" w:rsidP="00E86877" w14:paraId="3C515046" w14:textId="77777777">
      <w:pPr>
        <w:pBdr>
          <w:top w:val="none" w:sz="0" w:space="0" w:color="auto"/>
          <w:left w:val="none" w:sz="0" w:space="0" w:color="auto"/>
          <w:bottom w:val="none" w:sz="0" w:space="0" w:color="auto"/>
          <w:right w:val="none" w:sz="0" w:space="0" w:color="auto"/>
          <w:between w:val="none" w:sz="0" w:space="0" w:color="auto"/>
          <w:bar w:val="none" w:sz="0" w:space="0" w:color="auto"/>
        </w:pBdr>
        <w:suppressAutoHyphens/>
        <w:bidi w:val="0"/>
        <w:ind w:left="-284" w:right="567"/>
        <w:jc w:val="both"/>
        <w:rPr>
          <w:rFonts w:eastAsia="Times New Roman" w:cs="Times New Roman"/>
          <w:b/>
          <w:i/>
          <w:iCs/>
          <w:color w:val="auto"/>
          <w:bdr w:val="none" w:sz="0" w:space="0" w:color="auto"/>
          <w:lang w:val="it-IT" w:eastAsia="ar-SA"/>
        </w:rPr>
      </w:pP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The initiatives scheduled by FederUnacoma and Itabia on the topic of bioenergy are of great importance at the EIMA Digital Preview (EDP).</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 xml:space="preserve"> </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The first meeting was entitled "Use of biodegradable materials in agriculture", and the second day featured the webinar entitled "Guideline for the use of biomass energy plants".</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 xml:space="preserve"> </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The final conference of the Enabling project is today.</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 xml:space="preserve"> </w:t>
      </w:r>
    </w:p>
    <w:p w:rsidR="00E86877" w:rsidRPr="00E86877" w:rsidP="00E86877" w14:paraId="16815EE1" w14:textId="77777777">
      <w:pPr>
        <w:pBdr>
          <w:top w:val="none" w:sz="0" w:space="0" w:color="auto"/>
          <w:left w:val="none" w:sz="0" w:space="0" w:color="auto"/>
          <w:bottom w:val="none" w:sz="0" w:space="0" w:color="auto"/>
          <w:right w:val="none" w:sz="0" w:space="0" w:color="auto"/>
          <w:between w:val="none" w:sz="0" w:space="0" w:color="auto"/>
          <w:bar w:val="none" w:sz="0" w:space="0" w:color="auto"/>
        </w:pBdr>
        <w:suppressAutoHyphens/>
        <w:ind w:left="-284" w:right="567"/>
        <w:jc w:val="both"/>
        <w:rPr>
          <w:rFonts w:eastAsia="Times New Roman" w:cs="Times New Roman"/>
          <w:color w:val="auto"/>
          <w:bdr w:val="none" w:sz="0" w:space="0" w:color="auto"/>
          <w:lang w:val="it-IT" w:eastAsia="ar-SA"/>
        </w:rPr>
      </w:pPr>
    </w:p>
    <w:p w:rsidR="00E86877" w:rsidRPr="00E86877" w:rsidP="00E86877" w14:paraId="7C21A238" w14:textId="77777777">
      <w:pPr>
        <w:pBdr>
          <w:top w:val="none" w:sz="0" w:space="0" w:color="auto"/>
          <w:left w:val="none" w:sz="0" w:space="0" w:color="auto"/>
          <w:bottom w:val="none" w:sz="0" w:space="0" w:color="auto"/>
          <w:right w:val="none" w:sz="0" w:space="0" w:color="auto"/>
          <w:between w:val="none" w:sz="0" w:space="0" w:color="auto"/>
          <w:bar w:val="none" w:sz="0" w:space="0" w:color="auto"/>
        </w:pBdr>
        <w:suppressAutoHyphens/>
        <w:bidi w:val="0"/>
        <w:ind w:left="-284" w:right="567"/>
        <w:jc w:val="both"/>
        <w:rPr>
          <w:rFonts w:eastAsia="Times New Roman" w:cs="Times New Roman"/>
          <w:color w:val="auto"/>
          <w:bdr w:val="none" w:sz="0" w:space="0" w:color="auto"/>
          <w:lang w:val="it-IT" w:eastAsia="ar-SA"/>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Renewable energies are one of the salient themes of EDP, the virtual edition of EIMA International.</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In the first three days of the exhibition, Itabia (Italian Biomass Association) and FederUnacoma, the Italian association of agricultural machinery manufacturers that organizes the EDP, scheduled a series of meetings centred on the topics of bioenergy and bioeconomy.</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“The crisis we are experiencing represents a turning point also for sustainability.</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We must react with a positive spirit by seizing the sustainable development opportunities launched by the Green Deal, which can be financed with the 'Next Generation EU' instrument”, comments Itabia at the end of the scheduled series of meetings.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Today, according to the data of the recent Greenitaly 2020 Report, 432 thousand Italian companies have invested in the green economy in the last 5 years to overcome the crisis.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In Italy there are 3.1 million green jobs, 13.4% of the employed workforce.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“We need to march together in this direction by encouraging research and technological innovation - adds Itabia - to reduce environmental impacts and create new professional roles”.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Within this framework, Itabia, in close collaboration with Chimica Verde Bionet and ENEA, held three very topical webinars at EDP, discussing - from different angles - the topic of biomass, a renewable resource for a variety of uses in the circular bioeconomy sector.</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The meetings covered biobased industry, sustainable agriculture and bioenergy, without ever neglecting the central role of modern agricultural and forestry mechanization for the harvesting, handling and conditioning of biomass.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Participants were also awarded training credits to an extent determined by the respective professional associations.</w:t>
      </w:r>
    </w:p>
    <w:p w:rsidR="00E86877" w:rsidRPr="00E86877" w:rsidP="00E86877" w14:paraId="31593F4C" w14:textId="77777777">
      <w:pPr>
        <w:pBdr>
          <w:top w:val="none" w:sz="0" w:space="0" w:color="auto"/>
          <w:left w:val="none" w:sz="0" w:space="0" w:color="auto"/>
          <w:bottom w:val="none" w:sz="0" w:space="0" w:color="auto"/>
          <w:right w:val="none" w:sz="0" w:space="0" w:color="auto"/>
          <w:between w:val="none" w:sz="0" w:space="0" w:color="auto"/>
          <w:bar w:val="none" w:sz="0" w:space="0" w:color="auto"/>
        </w:pBdr>
        <w:suppressAutoHyphens/>
        <w:bidi w:val="0"/>
        <w:ind w:left="-284" w:right="567"/>
        <w:jc w:val="both"/>
        <w:rPr>
          <w:rFonts w:eastAsia="Times New Roman" w:cs="Times New Roman"/>
          <w:color w:val="auto"/>
          <w:bdr w:val="none" w:sz="0" w:space="0" w:color="auto"/>
          <w:lang w:val="it-IT" w:eastAsia="ar-SA"/>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The webinar "Use of biodegradable materials in agriculture" (held on 11 November) dealt with the bioeconomy and its applications in agriculture through innovative technical means with low environmental impact.</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In particular, we talked about biodegradable mulches, their characteristics, and the environmental and economic advantages associated with their use.</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 xml:space="preserve"> </w:t>
      </w:r>
    </w:p>
    <w:p w:rsidR="00E86877" w:rsidRPr="00E86877" w:rsidP="00E86877" w14:paraId="47DE1150" w14:textId="77777777">
      <w:pPr>
        <w:pBdr>
          <w:top w:val="none" w:sz="0" w:space="0" w:color="auto"/>
          <w:left w:val="none" w:sz="0" w:space="0" w:color="auto"/>
          <w:bottom w:val="none" w:sz="0" w:space="0" w:color="auto"/>
          <w:right w:val="none" w:sz="0" w:space="0" w:color="auto"/>
          <w:between w:val="none" w:sz="0" w:space="0" w:color="auto"/>
          <w:bar w:val="none" w:sz="0" w:space="0" w:color="auto"/>
        </w:pBdr>
        <w:suppressAutoHyphens/>
        <w:bidi w:val="0"/>
        <w:ind w:left="-284" w:right="567"/>
        <w:jc w:val="both"/>
        <w:rPr>
          <w:rFonts w:eastAsia="Times New Roman" w:cs="Times New Roman"/>
          <w:color w:val="auto"/>
          <w:bdr w:val="none" w:sz="0" w:space="0" w:color="auto"/>
          <w:lang w:val="it-IT" w:eastAsia="ar-SA"/>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On the second day of the EDP (November 12), the ENEA study "Guideline for the use of biomass energy plants" was presented, describing the technical and administrative steps to obtain the authorizations for the construction and management of energy plants, as well as the criteria for choosing conversion processes and technologies.</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 xml:space="preserve"> </w:t>
      </w:r>
    </w:p>
    <w:p w:rsidR="00E86877" w:rsidRPr="00E86877" w:rsidP="00E86877" w14:paraId="2D4B0793" w14:textId="77777777">
      <w:pPr>
        <w:pBdr>
          <w:top w:val="none" w:sz="0" w:space="0" w:color="auto"/>
          <w:left w:val="none" w:sz="0" w:space="0" w:color="auto"/>
          <w:bottom w:val="none" w:sz="0" w:space="0" w:color="auto"/>
          <w:right w:val="none" w:sz="0" w:space="0" w:color="auto"/>
          <w:between w:val="none" w:sz="0" w:space="0" w:color="auto"/>
          <w:bar w:val="none" w:sz="0" w:space="0" w:color="auto"/>
        </w:pBdr>
        <w:suppressAutoHyphens/>
        <w:bidi w:val="0"/>
        <w:ind w:left="-284" w:right="567"/>
        <w:jc w:val="both"/>
        <w:rPr>
          <w:rFonts w:eastAsia="Times New Roman" w:cs="Times New Roman"/>
          <w:color w:val="auto"/>
          <w:bdr w:val="none" w:sz="0" w:space="0" w:color="auto"/>
          <w:lang w:val="it-IT" w:eastAsia="ar-SA"/>
        </w:rPr>
      </w:pP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Lastly, the Final Conference of the ENABLING Project “Enhance New Approaches in Biobased Local Innovation Networks for Growth”, developed within the H2020 programme and coordinated by FederUnacoma and Itabia, was held today.</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The project has created a series of tools to enhance the bioproducts market by facilitating contact between the agricultural sector (biomass producer) and the industrial sector (processor).</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 xml:space="preserve"> </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From this point of view, the EDP has been a showcase to facilitate the use of agricultural products and by-products in sectors with great growth potential such as green chemicals, textiles, automotive, nutraceuticals, and green building.</w:t>
      </w:r>
      <w:r>
        <w:rPr>
          <w:rStyle w:val="DefaultParagraphFont"/>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ar-SA" w:bidi="ar-SA"/>
        </w:rPr>
        <w:t xml:space="preserve"> </w:t>
      </w:r>
    </w:p>
    <w:p w:rsidR="005D3FA8" w:rsidRPr="005D3FA8" w:rsidP="005D3FA8" w14:paraId="770DE7A4" w14:textId="77777777">
      <w:pPr>
        <w:tabs>
          <w:tab w:val="left" w:pos="7655"/>
        </w:tabs>
        <w:ind w:left="-284" w:right="425"/>
        <w:jc w:val="both"/>
        <w:rPr>
          <w:rFonts w:cs="Times New Roman"/>
          <w:b/>
          <w:sz w:val="28"/>
          <w:lang w:val="it-IT"/>
        </w:rPr>
      </w:pPr>
    </w:p>
    <w:p w:rsidR="00ED24DD" w:rsidRPr="00A06A35" w:rsidP="00CB2AFD" w14:paraId="7DA4DC16" w14:textId="77777777">
      <w:pPr>
        <w:tabs>
          <w:tab w:val="left" w:pos="7655"/>
        </w:tabs>
        <w:ind w:left="-284" w:right="425"/>
        <w:jc w:val="both"/>
        <w:rPr>
          <w:rFonts w:cs="Times New Roman"/>
          <w:lang w:val="fr-FR"/>
        </w:rPr>
      </w:pPr>
    </w:p>
    <w:p w:rsidR="00E77019" w:rsidRPr="00A06A35" w:rsidP="00CB2AFD" w14:paraId="1339E3FF" w14:textId="656D409D">
      <w:pPr>
        <w:tabs>
          <w:tab w:val="left" w:pos="7655"/>
        </w:tabs>
        <w:bidi w:val="0"/>
        <w:ind w:left="-284" w:right="425"/>
        <w:jc w:val="both"/>
        <w:rPr>
          <w:rFonts w:cs="Times New Roman"/>
          <w:b/>
          <w:lang w:val="fr-FR"/>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Rome, 13 November 2020</w:t>
      </w:r>
    </w:p>
    <w:sectPr>
      <w:headerReference w:type="default" r:id="rId7"/>
      <w:footerReference w:type="default" r:id="rId8"/>
      <w:pgSz w:w="11900" w:h="16840"/>
      <w:pgMar w:top="0" w:right="560" w:bottom="284" w:left="3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7019" w14:paraId="250517E4" w14:textId="77777777">
    <w:pPr>
      <w:pStyle w:val="Intestazioneepidipagina"/>
      <w:rPr>
        <w:rFonts w:hint="eastAsia"/>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7019" w14:paraId="490FFA8B" w14:textId="29CF683F">
    <w:pPr>
      <w:pStyle w:val="Header"/>
      <w:tabs>
        <w:tab w:val="right" w:pos="7485"/>
        <w:tab w:val="clear" w:pos="9638"/>
      </w:tabs>
    </w:pPr>
    <w:r>
      <w:rPr>
        <w:noProof/>
        <w:lang w:val="it-IT"/>
      </w:rP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6350" b="3175"/>
              <wp:wrapNone/>
              <wp:docPr id="2"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56500" cy="10693400"/>
                      </a:xfrm>
                      <a:prstGeom prst="roundRect">
                        <a:avLst>
                          <a:gd name="adj" fmla="val 20000"/>
                        </a:avLst>
                      </a:prstGeom>
                      <a:solidFill>
                        <a:srgbClr val="FFFFFF"/>
                      </a:solidFill>
                      <a:ln>
                        <a:noFill/>
                      </a:ln>
                      <a:extLst>
                        <a:ext xmlns:a="http://schemas.openxmlformats.org/drawingml/2006/main" uri="{91240B29-F687-4F45-9708-019B960494DF}">
                          <a14:hiddenLine xmlns:a14="http://schemas.microsoft.com/office/drawing/2010/main" w="12700">
                            <a:solidFill>
                              <a:srgbClr val="000000"/>
                            </a:solidFill>
                            <a:miter lim="4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595pt;height:842pt;margin-top:0;margin-left:0;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7216" arcsize="13107f" stroked="f" strokeweight="1pt">
              <v:stroke joinstyle="miter"/>
            </v:roundrect>
          </w:pict>
        </mc:Fallback>
      </mc:AlternateContent>
    </w:r>
    <w:r w:rsidR="00497C4D">
      <w:rPr>
        <w:noProof/>
        <w:lang w:val="it-IT"/>
      </w:rPr>
      <w:drawing>
        <wp:anchor distT="152400" distB="152400" distL="152400" distR="152400" simplePos="0" relativeHeight="251660288"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221943679" name="CARTA INT EIMA com stampa 2014.jpeg" descr="CARTA INT EIMA com stampa 2014.jpeg"/>
                  <pic:cNvPicPr>
                    <a:picLocks noChangeAspect="1"/>
                  </pic:cNvPicPr>
                </pic:nvPicPr>
                <pic:blipFill>
                  <a:blip xmlns:r="http://schemas.openxmlformats.org/officeDocument/2006/relationships" r:embed="rId1"/>
                  <a:stretch>
                    <a:fillRect/>
                  </a:stretch>
                </pic:blipFill>
                <pic:spPr>
                  <a:xfrm>
                    <a:off x="0" y="0"/>
                    <a:ext cx="7588885" cy="10744200"/>
                  </a:xfrm>
                  <a:prstGeom prst="rect">
                    <a:avLst/>
                  </a:prstGeom>
                  <a:ln w="12700">
                    <a:noFill/>
                    <a:miter lim="400000"/>
                  </a:ln>
                  <a:effectLst/>
                </pic:spPr>
              </pic:pic>
            </a:graphicData>
          </a:graphic>
        </wp:anchor>
      </w:drawing>
    </w:r>
    <w:r>
      <w:rPr>
        <w:noProof/>
        <w:lang w:val="it-IT"/>
      </w:rPr>
      <mc:AlternateContent>
        <mc:Choice Requires="wps">
          <w:drawing>
            <wp:anchor distT="152400" distB="152400" distL="152400" distR="152400" simplePos="0" relativeHeight="251661312" behindDoc="1" locked="0" layoutInCell="1" allowOverlap="1">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4675" cy="329565"/>
                      </a:xfrm>
                      <a:prstGeom prst="rect">
                        <a:avLst/>
                      </a:prstGeom>
                      <a:solidFill>
                        <a:srgbClr val="FFFFFF"/>
                      </a:solidFill>
                      <a:ln>
                        <a:noFill/>
                      </a:ln>
                      <a:extLst>
                        <a:ext xmlns:a="http://schemas.openxmlformats.org/drawingml/2006/main" uri="{91240B29-F687-4F45-9708-019B960494DF}">
                          <a14:hiddenLine xmlns:a14="http://schemas.microsoft.com/office/drawing/2010/main" w="12700">
                            <a:solidFill>
                              <a:srgbClr val="000000"/>
                            </a:solidFill>
                            <a:miter lim="400000"/>
                            <a:headEnd/>
                            <a:tailEnd/>
                          </a14:hiddenLine>
                        </a:ext>
                      </a:extLst>
                    </wps:spPr>
                    <wps:txbx>
                      <w:txbxContent>
                        <w:p w:rsidR="00E77019" w14:textId="1E47B4D9">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ect id="officeArt object" o:spid="_x0000_s2050" style="width:45.25pt;height:25.95pt;margin-top:400.9pt;margin-left:549.75pt;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4144" stroked="f" strokeweight="1pt">
              <v:textbox inset="3.6pt,,3.6pt">
                <w:txbxContent>
                  <w:p w:rsidR="00E77019" w14:paraId="261C6529" w14:textId="1E47B4D9">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67970EF"/>
    <w:multiLevelType w:val="hybridMultilevel"/>
    <w:tmpl w:val="739A7838"/>
    <w:lvl w:ilvl="0">
      <w:start w:val="0"/>
      <w:numFmt w:val="bullet"/>
      <w:lvlText w:val=""/>
      <w:lvlJc w:val="left"/>
      <w:pPr>
        <w:ind w:left="1065" w:hanging="360"/>
      </w:pPr>
      <w:rPr>
        <w:rFonts w:ascii="Wingdings" w:eastAsia="Arial Unicode MS" w:hAnsi="Wingdings" w:cs="Arial Unicode MS" w:hint="default"/>
        <w:sz w:val="24"/>
      </w:rPr>
    </w:lvl>
    <w:lvl w:ilvl="1" w:tentative="1">
      <w:start w:val="1"/>
      <w:numFmt w:val="bullet"/>
      <w:lvlText w:val="o"/>
      <w:lvlJc w:val="left"/>
      <w:pPr>
        <w:ind w:left="1785" w:hanging="360"/>
      </w:pPr>
      <w:rPr>
        <w:rFonts w:ascii="Courier New" w:hAnsi="Courier New" w:cs="Courier New" w:hint="default"/>
      </w:rPr>
    </w:lvl>
    <w:lvl w:ilvl="2" w:tentative="1">
      <w:start w:val="1"/>
      <w:numFmt w:val="bullet"/>
      <w:lvlText w:val=""/>
      <w:lvlJc w:val="left"/>
      <w:pPr>
        <w:ind w:left="2505" w:hanging="360"/>
      </w:pPr>
      <w:rPr>
        <w:rFonts w:ascii="Wingdings" w:hAnsi="Wingdings" w:hint="default"/>
      </w:rPr>
    </w:lvl>
    <w:lvl w:ilvl="3" w:tentative="1">
      <w:start w:val="1"/>
      <w:numFmt w:val="bullet"/>
      <w:lvlText w:val=""/>
      <w:lvlJc w:val="left"/>
      <w:pPr>
        <w:ind w:left="3225" w:hanging="360"/>
      </w:pPr>
      <w:rPr>
        <w:rFonts w:ascii="Symbol" w:hAnsi="Symbol" w:hint="default"/>
      </w:rPr>
    </w:lvl>
    <w:lvl w:ilvl="4" w:tentative="1">
      <w:start w:val="1"/>
      <w:numFmt w:val="bullet"/>
      <w:lvlText w:val="o"/>
      <w:lvlJc w:val="left"/>
      <w:pPr>
        <w:ind w:left="3945" w:hanging="360"/>
      </w:pPr>
      <w:rPr>
        <w:rFonts w:ascii="Courier New" w:hAnsi="Courier New" w:cs="Courier New" w:hint="default"/>
      </w:rPr>
    </w:lvl>
    <w:lvl w:ilvl="5" w:tentative="1">
      <w:start w:val="1"/>
      <w:numFmt w:val="bullet"/>
      <w:lvlText w:val=""/>
      <w:lvlJc w:val="left"/>
      <w:pPr>
        <w:ind w:left="4665" w:hanging="360"/>
      </w:pPr>
      <w:rPr>
        <w:rFonts w:ascii="Wingdings" w:hAnsi="Wingdings" w:hint="default"/>
      </w:rPr>
    </w:lvl>
    <w:lvl w:ilvl="6" w:tentative="1">
      <w:start w:val="1"/>
      <w:numFmt w:val="bullet"/>
      <w:lvlText w:val=""/>
      <w:lvlJc w:val="left"/>
      <w:pPr>
        <w:ind w:left="5385" w:hanging="360"/>
      </w:pPr>
      <w:rPr>
        <w:rFonts w:ascii="Symbol" w:hAnsi="Symbol" w:hint="default"/>
      </w:rPr>
    </w:lvl>
    <w:lvl w:ilvl="7" w:tentative="1">
      <w:start w:val="1"/>
      <w:numFmt w:val="bullet"/>
      <w:lvlText w:val="o"/>
      <w:lvlJc w:val="left"/>
      <w:pPr>
        <w:ind w:left="6105" w:hanging="360"/>
      </w:pPr>
      <w:rPr>
        <w:rFonts w:ascii="Courier New" w:hAnsi="Courier New" w:cs="Courier New" w:hint="default"/>
      </w:rPr>
    </w:lvl>
    <w:lvl w:ilvl="8"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50C2B"/>
    <w:rsid w:val="000658D9"/>
    <w:rsid w:val="00071614"/>
    <w:rsid w:val="00077DD2"/>
    <w:rsid w:val="000953A3"/>
    <w:rsid w:val="0009794B"/>
    <w:rsid w:val="00097B12"/>
    <w:rsid w:val="000B20A3"/>
    <w:rsid w:val="000B59DF"/>
    <w:rsid w:val="000D250A"/>
    <w:rsid w:val="000E0DB4"/>
    <w:rsid w:val="000E23E4"/>
    <w:rsid w:val="000E71A7"/>
    <w:rsid w:val="000F24D8"/>
    <w:rsid w:val="00114FE0"/>
    <w:rsid w:val="00124A76"/>
    <w:rsid w:val="001467AB"/>
    <w:rsid w:val="0015239E"/>
    <w:rsid w:val="00155345"/>
    <w:rsid w:val="00160663"/>
    <w:rsid w:val="00175461"/>
    <w:rsid w:val="0018354D"/>
    <w:rsid w:val="00191FF5"/>
    <w:rsid w:val="001C1C60"/>
    <w:rsid w:val="0022432E"/>
    <w:rsid w:val="00234191"/>
    <w:rsid w:val="00243210"/>
    <w:rsid w:val="00253F3A"/>
    <w:rsid w:val="00256769"/>
    <w:rsid w:val="00287C62"/>
    <w:rsid w:val="002A3758"/>
    <w:rsid w:val="002C1AD0"/>
    <w:rsid w:val="002E5D67"/>
    <w:rsid w:val="003076AD"/>
    <w:rsid w:val="00310703"/>
    <w:rsid w:val="003241F7"/>
    <w:rsid w:val="00330ADB"/>
    <w:rsid w:val="00333081"/>
    <w:rsid w:val="00364712"/>
    <w:rsid w:val="00372024"/>
    <w:rsid w:val="003747D1"/>
    <w:rsid w:val="003930B7"/>
    <w:rsid w:val="00395CEF"/>
    <w:rsid w:val="003E4D8B"/>
    <w:rsid w:val="00400CE5"/>
    <w:rsid w:val="00406182"/>
    <w:rsid w:val="004330CB"/>
    <w:rsid w:val="004541A8"/>
    <w:rsid w:val="00477EB0"/>
    <w:rsid w:val="00486E84"/>
    <w:rsid w:val="00486ED4"/>
    <w:rsid w:val="00490B24"/>
    <w:rsid w:val="00494FEC"/>
    <w:rsid w:val="00497C4D"/>
    <w:rsid w:val="004B1F47"/>
    <w:rsid w:val="004C2D99"/>
    <w:rsid w:val="004F6A11"/>
    <w:rsid w:val="004F7D4D"/>
    <w:rsid w:val="00521688"/>
    <w:rsid w:val="005433C5"/>
    <w:rsid w:val="005539BC"/>
    <w:rsid w:val="005760BB"/>
    <w:rsid w:val="005B0616"/>
    <w:rsid w:val="005D3FA8"/>
    <w:rsid w:val="005D6F85"/>
    <w:rsid w:val="005D7EBF"/>
    <w:rsid w:val="005F17E8"/>
    <w:rsid w:val="00601685"/>
    <w:rsid w:val="00613292"/>
    <w:rsid w:val="00643058"/>
    <w:rsid w:val="00652C4C"/>
    <w:rsid w:val="00677CC8"/>
    <w:rsid w:val="006810E8"/>
    <w:rsid w:val="00697357"/>
    <w:rsid w:val="006A5B42"/>
    <w:rsid w:val="006B52C1"/>
    <w:rsid w:val="006C0D12"/>
    <w:rsid w:val="006C2184"/>
    <w:rsid w:val="006C65AF"/>
    <w:rsid w:val="006D0827"/>
    <w:rsid w:val="006F791F"/>
    <w:rsid w:val="00715AC8"/>
    <w:rsid w:val="007354F9"/>
    <w:rsid w:val="00737B00"/>
    <w:rsid w:val="007A1614"/>
    <w:rsid w:val="007A2D4F"/>
    <w:rsid w:val="007C54E7"/>
    <w:rsid w:val="007C7957"/>
    <w:rsid w:val="00825D80"/>
    <w:rsid w:val="00826D90"/>
    <w:rsid w:val="00837222"/>
    <w:rsid w:val="008440C0"/>
    <w:rsid w:val="00845929"/>
    <w:rsid w:val="00846723"/>
    <w:rsid w:val="008553FB"/>
    <w:rsid w:val="00892EB6"/>
    <w:rsid w:val="00896574"/>
    <w:rsid w:val="008C6C11"/>
    <w:rsid w:val="008E660D"/>
    <w:rsid w:val="008F38AD"/>
    <w:rsid w:val="00900518"/>
    <w:rsid w:val="009234B5"/>
    <w:rsid w:val="00967353"/>
    <w:rsid w:val="00986B19"/>
    <w:rsid w:val="009934CC"/>
    <w:rsid w:val="009A599E"/>
    <w:rsid w:val="009C0F34"/>
    <w:rsid w:val="00A06A35"/>
    <w:rsid w:val="00A440F2"/>
    <w:rsid w:val="00A63A04"/>
    <w:rsid w:val="00A91C26"/>
    <w:rsid w:val="00A967AC"/>
    <w:rsid w:val="00AC40B3"/>
    <w:rsid w:val="00AE058B"/>
    <w:rsid w:val="00AE5012"/>
    <w:rsid w:val="00AF32F5"/>
    <w:rsid w:val="00B21437"/>
    <w:rsid w:val="00B32B8F"/>
    <w:rsid w:val="00B3675F"/>
    <w:rsid w:val="00B57CAD"/>
    <w:rsid w:val="00BA1E92"/>
    <w:rsid w:val="00BD1EC1"/>
    <w:rsid w:val="00BD5D3F"/>
    <w:rsid w:val="00BE5853"/>
    <w:rsid w:val="00C00D0F"/>
    <w:rsid w:val="00C03358"/>
    <w:rsid w:val="00C111DE"/>
    <w:rsid w:val="00C15314"/>
    <w:rsid w:val="00C23954"/>
    <w:rsid w:val="00C3470B"/>
    <w:rsid w:val="00C45CEC"/>
    <w:rsid w:val="00C802E7"/>
    <w:rsid w:val="00C83B9F"/>
    <w:rsid w:val="00C93831"/>
    <w:rsid w:val="00CB2AFD"/>
    <w:rsid w:val="00CC66BD"/>
    <w:rsid w:val="00CF6CDE"/>
    <w:rsid w:val="00D33E52"/>
    <w:rsid w:val="00D406B4"/>
    <w:rsid w:val="00D560A4"/>
    <w:rsid w:val="00D90822"/>
    <w:rsid w:val="00D916EC"/>
    <w:rsid w:val="00DB2FA8"/>
    <w:rsid w:val="00DC3813"/>
    <w:rsid w:val="00DD7A17"/>
    <w:rsid w:val="00E617EF"/>
    <w:rsid w:val="00E77019"/>
    <w:rsid w:val="00E86877"/>
    <w:rsid w:val="00E86B01"/>
    <w:rsid w:val="00EA5E1E"/>
    <w:rsid w:val="00ED20F4"/>
    <w:rsid w:val="00ED24DD"/>
    <w:rsid w:val="00ED6BD5"/>
    <w:rsid w:val="00EE791B"/>
    <w:rsid w:val="00F04588"/>
    <w:rsid w:val="00F206CF"/>
    <w:rsid w:val="00F341F9"/>
    <w:rsid w:val="00F46B54"/>
    <w:rsid w:val="00F50302"/>
    <w:rsid w:val="00F937D5"/>
    <w:rsid w:val="00F965E3"/>
    <w:rsid w:val="00FB2BFB"/>
    <w:rsid w:val="00FB6381"/>
    <w:rsid w:val="00FC0B05"/>
  </w:rsids>
  <m:mathPr>
    <m:mathFont m:val="Cambria Math"/>
    <m:smallFrac/>
  </m:mathPr>
  <w:themeFontLang w:val="fr-FR"/>
  <w:clrSchemeMapping w:bg1="light1" w:t1="dark1" w:bg2="light2" w:t2="dark2" w:accent1="accent1" w:accent2="accent2" w:accent3="accent3" w:accent4="accent4" w:accent5="accent5" w:accent6="accent6" w:hyperlink="hyperlink" w:followedHyperlink="followedHyperlink"/>
  <w15:docId w15:val="{8AB0FBDD-5455-42DD-A61C-8F5CCD63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406B4"/>
    <w:rPr>
      <w:rFonts w:cs="Arial Unicode MS"/>
      <w:color w:val="000000"/>
      <w:sz w:val="24"/>
      <w:szCs w:val="24"/>
      <w:u w:color="000000"/>
      <w:lang w:val="en-US"/>
    </w:rPr>
  </w:style>
  <w:style w:type="paragraph" w:styleId="Heading3">
    <w:name w:val="heading 3"/>
    <w:basedOn w:val="Normal"/>
    <w:link w:val="Titolo3Carattere"/>
    <w:uiPriority w:val="9"/>
    <w:qFormat/>
    <w:rsid w:val="00900518"/>
    <w:pPr>
      <w:pBdr>
        <w:top w:val="none" w:sz="0" w:space="0" w:color="auto"/>
        <w:left w:val="none" w:sz="0" w:space="0" w:color="auto"/>
        <w:bottom w:val="none" w:sz="0" w:space="0" w:color="auto"/>
        <w:right w:val="none" w:sz="0" w:space="0" w:color="auto"/>
        <w:between w:val="none" w:sz="0" w:space="0" w:color="auto"/>
        <w:bar w:val="none" w:sz="0" w:space="0" w:color="auto"/>
      </w:pBdr>
      <w:spacing w:before="100" w:beforeAutospacing="1" w:after="100" w:afterAutospacing="1"/>
      <w:outlineLvl w:val="2"/>
    </w:pPr>
    <w:rPr>
      <w:rFonts w:eastAsia="Times New Roman" w:cs="Times New Roman"/>
      <w:b/>
      <w:bCs/>
      <w:color w:val="auto"/>
      <w:sz w:val="27"/>
      <w:szCs w:val="27"/>
      <w:bdr w:val="none" w:sz="0" w:space="0" w:color="auto"/>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06B4"/>
    <w:rPr>
      <w:u w:val="single"/>
    </w:rPr>
  </w:style>
  <w:style w:type="table" w:customStyle="1" w:styleId="TableNormal0">
    <w:name w:val="Table Normal_0"/>
    <w:rsid w:val="00D406B4"/>
    <w:tblPr>
      <w:tblInd w:w="0" w:type="dxa"/>
      <w:tblCellMar>
        <w:top w:w="0" w:type="dxa"/>
        <w:left w:w="0" w:type="dxa"/>
        <w:bottom w:w="0" w:type="dxa"/>
        <w:right w:w="0" w:type="dxa"/>
      </w:tblCellMar>
    </w:tblPr>
  </w:style>
  <w:style w:type="paragraph" w:styleId="Header">
    <w:name w:val="header"/>
    <w:rsid w:val="00D406B4"/>
    <w:pPr>
      <w:tabs>
        <w:tab w:val="center" w:pos="4819"/>
        <w:tab w:val="right" w:pos="9638"/>
      </w:tabs>
    </w:pPr>
    <w:rPr>
      <w:rFonts w:cs="Arial Unicode MS"/>
      <w:color w:val="000000"/>
      <w:sz w:val="24"/>
      <w:szCs w:val="24"/>
      <w:u w:color="000000"/>
      <w:lang w:val="en-US"/>
    </w:rPr>
  </w:style>
  <w:style w:type="character" w:customStyle="1" w:styleId="Nessuno">
    <w:name w:val="Nessuno"/>
    <w:rsid w:val="00D406B4"/>
  </w:style>
  <w:style w:type="paragraph" w:customStyle="1" w:styleId="Intestazioneepidipagina">
    <w:name w:val="Intestazione e piè di pagina"/>
    <w:rsid w:val="00D406B4"/>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DefaultParagraphFont"/>
    <w:link w:val="BalloonText"/>
    <w:uiPriority w:val="99"/>
    <w:semiHidden/>
    <w:rsid w:val="008553FB"/>
    <w:rPr>
      <w:rFonts w:ascii="Tahoma" w:hAnsi="Tahoma" w:cs="Tahoma"/>
      <w:color w:val="000000"/>
      <w:sz w:val="16"/>
      <w:szCs w:val="16"/>
      <w:u w:color="000000"/>
      <w:lang w:val="en-US"/>
    </w:rPr>
  </w:style>
  <w:style w:type="paragraph" w:styleId="ListParagraph">
    <w:name w:val="List Paragraph"/>
    <w:basedOn w:val="Normal"/>
    <w:uiPriority w:val="34"/>
    <w:qFormat/>
    <w:rsid w:val="004F6A11"/>
    <w:pPr>
      <w:ind w:left="720"/>
      <w:contextualSpacing/>
    </w:pPr>
  </w:style>
  <w:style w:type="character" w:customStyle="1" w:styleId="Titolo3Carattere">
    <w:name w:val="Titolo 3 Carattere"/>
    <w:basedOn w:val="DefaultParagraphFont"/>
    <w:link w:val="Heading3"/>
    <w:uiPriority w:val="9"/>
    <w:rsid w:val="00900518"/>
    <w:rPr>
      <w:rFonts w:eastAsia="Times New Roman"/>
      <w:b/>
      <w:bCs/>
      <w:sz w:val="27"/>
      <w:szCs w:val="27"/>
      <w:bdr w:val="none" w:sz="0" w:space="0" w:color="auto"/>
      <w:lang w:val="it-IT"/>
    </w:rPr>
  </w:style>
  <w:style w:type="character" w:customStyle="1" w:styleId="UnresolvedMention">
    <w:name w:val="Unresolved Mention"/>
    <w:basedOn w:val="DefaultParagraphFont"/>
    <w:uiPriority w:val="99"/>
    <w:semiHidden/>
    <w:unhideWhenUsed/>
    <w:rsid w:val="00A63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CDA95-D94B-4A66-83D5-971C3CF5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566</Words>
  <Characters>3230</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Mondo Macchina</cp:lastModifiedBy>
  <cp:revision>2</cp:revision>
  <dcterms:created xsi:type="dcterms:W3CDTF">2020-11-13T18:06:00Z</dcterms:created>
  <dcterms:modified xsi:type="dcterms:W3CDTF">2020-11-13T18:06:00Z</dcterms:modified>
</cp:coreProperties>
</file>